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1A" w:rsidRPr="00D14B88" w:rsidRDefault="009D211A" w:rsidP="009D211A">
      <w:pPr>
        <w:rPr>
          <w:b/>
        </w:rPr>
      </w:pPr>
      <w:r w:rsidRPr="00D14B88">
        <w:rPr>
          <w:b/>
        </w:rPr>
        <w:t xml:space="preserve">Genedrive plc - Annual General Meeting </w:t>
      </w:r>
    </w:p>
    <w:p w:rsidR="009D211A" w:rsidRDefault="009D211A" w:rsidP="009D211A">
      <w:r>
        <w:t xml:space="preserve"> The Annual General Meeting of Genedrive plc was held at </w:t>
      </w:r>
      <w:r w:rsidRPr="009D211A">
        <w:t xml:space="preserve">11:00 a.m. on 31 December 2018 at the oﬃces of </w:t>
      </w:r>
      <w:proofErr w:type="spellStart"/>
      <w:r w:rsidRPr="009D211A">
        <w:t>Addleshaw</w:t>
      </w:r>
      <w:proofErr w:type="spellEnd"/>
      <w:r w:rsidRPr="009D211A">
        <w:t xml:space="preserve"> Goddard LLP, Milton Gate, 60 </w:t>
      </w:r>
      <w:proofErr w:type="spellStart"/>
      <w:r w:rsidRPr="009D211A">
        <w:t>Chiswell</w:t>
      </w:r>
      <w:proofErr w:type="spellEnd"/>
      <w:r w:rsidRPr="009D211A">
        <w:t xml:space="preserve"> Street, London, </w:t>
      </w:r>
      <w:proofErr w:type="gramStart"/>
      <w:r w:rsidRPr="009D211A">
        <w:t>EC1Y</w:t>
      </w:r>
      <w:proofErr w:type="gramEnd"/>
      <w:r>
        <w:t xml:space="preserve">. Proxy votes were received from ordinary shareholders prior to the meeting, as detailed below (percentage of votes cast excludes withheld votes).  All resolutions put to the meeting were passed on a show of hands.  </w:t>
      </w:r>
    </w:p>
    <w:p w:rsidR="009D211A" w:rsidRDefault="009D211A" w:rsidP="009D211A">
      <w:r>
        <w:t xml:space="preserve">Total number of ordinary shares in issue: 34,000,506  </w:t>
      </w:r>
    </w:p>
    <w:p w:rsidR="00D14B88" w:rsidRDefault="00D14B88" w:rsidP="009D21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1242"/>
        <w:gridCol w:w="1026"/>
        <w:gridCol w:w="1083"/>
      </w:tblGrid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RESOLUTION</w:t>
            </w:r>
          </w:p>
        </w:tc>
        <w:tc>
          <w:tcPr>
            <w:tcW w:w="1242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 xml:space="preserve">FOR </w:t>
            </w:r>
          </w:p>
        </w:tc>
        <w:tc>
          <w:tcPr>
            <w:tcW w:w="1026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AGAINST</w:t>
            </w:r>
          </w:p>
        </w:tc>
        <w:tc>
          <w:tcPr>
            <w:tcW w:w="1083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ABSTAIN</w:t>
            </w: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receive and adopt the audited consolidated ﬁnancial statements for the Company and its subsidiaries and the reports of the directors and auditors thereon for the year ended 30 June 2018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9,765,415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approve the report of the board to the members on directors remuneration for the year ended 30 June 2018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9,765,279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re-appoint Tom Lindsay as a director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10,551,899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re-appoint Chris Yates as a director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10,552,035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re-appoint David Budd as a director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D14B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10,551,899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re-appoint Matthew Fowler as a director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10,552,035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re-appoint Ian Gilham as a director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8,731,628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1,820,435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approve that the vacancy created by the retirement of Roger Lloyd as a director is not ﬁlled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9,765,415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approve that the vacancy created by the retirement of Robert Nolan as a director is not ﬁlled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9,765,415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D211A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D14B88" w:rsidRPr="009D211A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 xml:space="preserve">To re-appoint </w:t>
            </w:r>
            <w:proofErr w:type="spellStart"/>
            <w:r w:rsidRPr="009D211A">
              <w:rPr>
                <w:sz w:val="20"/>
                <w:szCs w:val="20"/>
              </w:rPr>
              <w:t>Pricewaterhouse</w:t>
            </w:r>
            <w:proofErr w:type="spellEnd"/>
            <w:r w:rsidRPr="009D211A">
              <w:rPr>
                <w:sz w:val="20"/>
                <w:szCs w:val="20"/>
              </w:rPr>
              <w:t xml:space="preserve"> Coopers LLP, Chartered Accountants, as auditors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10,551,899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9D211A" w:rsidRP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The directors be authorised to allot shares in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9,765,415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dis</w:t>
            </w:r>
            <w:r w:rsidR="00AC136E">
              <w:rPr>
                <w:sz w:val="20"/>
                <w:szCs w:val="20"/>
              </w:rPr>
              <w:t>-apply pre-</w:t>
            </w:r>
            <w:r w:rsidRPr="009D211A">
              <w:rPr>
                <w:sz w:val="20"/>
                <w:szCs w:val="20"/>
              </w:rPr>
              <w:t>emption rights</w:t>
            </w:r>
            <w:bookmarkStart w:id="0" w:name="_GoBack"/>
            <w:bookmarkEnd w:id="0"/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7,945,008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81.36%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D14B88" w:rsidRDefault="009D211A" w:rsidP="00D14B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1,820,407</w:t>
            </w:r>
          </w:p>
          <w:p w:rsidR="00D14B88" w:rsidRDefault="00D14B88" w:rsidP="00D14B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18.64%</w:t>
            </w: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211A" w:rsidTr="00D14B88">
        <w:tc>
          <w:tcPr>
            <w:tcW w:w="421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9D211A" w:rsidRPr="009D211A" w:rsidRDefault="009D211A" w:rsidP="009D211A">
            <w:pPr>
              <w:rPr>
                <w:sz w:val="20"/>
                <w:szCs w:val="20"/>
              </w:rPr>
            </w:pPr>
            <w:r w:rsidRPr="009D211A">
              <w:rPr>
                <w:sz w:val="20"/>
                <w:szCs w:val="20"/>
              </w:rPr>
              <w:t>To acknowledge the position in relation to section 656 of the Companies Act 2006 and the net assets of the Company</w:t>
            </w:r>
          </w:p>
        </w:tc>
        <w:tc>
          <w:tcPr>
            <w:tcW w:w="1242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9,765,279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  <w:p w:rsidR="00D14B88" w:rsidRPr="009D211A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9D211A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  <w:p w:rsidR="00D14B88" w:rsidRPr="009D211A" w:rsidRDefault="00D14B88" w:rsidP="00D14B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bottom"/>
          </w:tcPr>
          <w:p w:rsidR="00D14B88" w:rsidRDefault="009D211A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211A">
              <w:rPr>
                <w:rFonts w:ascii="Calibri" w:hAnsi="Calibri" w:cs="Calibri"/>
                <w:color w:val="000000"/>
                <w:sz w:val="20"/>
                <w:szCs w:val="20"/>
              </w:rPr>
              <w:t>786,784</w:t>
            </w: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4B88" w:rsidRPr="009D211A" w:rsidRDefault="00D14B88" w:rsidP="009D21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80684" w:rsidRDefault="00080684" w:rsidP="009D211A"/>
    <w:p w:rsidR="009D211A" w:rsidRDefault="009D211A" w:rsidP="009D211A"/>
    <w:p w:rsidR="009D211A" w:rsidRDefault="009D211A" w:rsidP="009D211A"/>
    <w:sectPr w:rsidR="009D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A"/>
    <w:rsid w:val="00080684"/>
    <w:rsid w:val="009D211A"/>
    <w:rsid w:val="00AC136E"/>
    <w:rsid w:val="00D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23FB-09D3-47C6-AC45-5BD76AF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Epistem Ltd.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Fowler</dc:creator>
  <cp:keywords/>
  <dc:description/>
  <cp:lastModifiedBy>Anna Bandurska</cp:lastModifiedBy>
  <cp:revision>2</cp:revision>
  <dcterms:created xsi:type="dcterms:W3CDTF">2019-01-07T09:46:00Z</dcterms:created>
  <dcterms:modified xsi:type="dcterms:W3CDTF">2019-01-07T09:46:00Z</dcterms:modified>
</cp:coreProperties>
</file>